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13A5" w14:textId="1B687F67" w:rsidR="00374CAD" w:rsidRPr="00993277" w:rsidRDefault="007B500A" w:rsidP="00FF16D1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The attached</w:t>
      </w:r>
      <w:r w:rsidR="00633DFD">
        <w:rPr>
          <w:rFonts w:asciiTheme="minorHAnsi" w:hAnsiTheme="minorHAnsi" w:cstheme="minorHAnsi"/>
          <w:sz w:val="24"/>
          <w:szCs w:val="24"/>
        </w:rPr>
        <w:t xml:space="preserve"> </w:t>
      </w:r>
      <w:r w:rsidR="00D007D1">
        <w:rPr>
          <w:rFonts w:asciiTheme="minorHAnsi" w:hAnsiTheme="minorHAnsi" w:cstheme="minorHAnsi"/>
          <w:sz w:val="24"/>
          <w:szCs w:val="24"/>
        </w:rPr>
        <w:t>csv</w:t>
      </w:r>
      <w:r w:rsidR="00633DFD">
        <w:rPr>
          <w:rFonts w:asciiTheme="minorHAnsi" w:hAnsiTheme="minorHAnsi" w:cstheme="minorHAnsi"/>
          <w:sz w:val="24"/>
          <w:szCs w:val="24"/>
        </w:rPr>
        <w:t xml:space="preserve"> file title</w:t>
      </w:r>
      <w:r w:rsidR="00E65F0E">
        <w:rPr>
          <w:rFonts w:asciiTheme="minorHAnsi" w:hAnsiTheme="minorHAnsi" w:cstheme="minorHAnsi"/>
          <w:sz w:val="24"/>
          <w:szCs w:val="24"/>
        </w:rPr>
        <w:t>d</w:t>
      </w:r>
      <w:r w:rsidR="00633DFD">
        <w:rPr>
          <w:rFonts w:asciiTheme="minorHAnsi" w:hAnsiTheme="minorHAnsi" w:cstheme="minorHAnsi"/>
          <w:sz w:val="24"/>
          <w:szCs w:val="24"/>
        </w:rPr>
        <w:t xml:space="preserve"> “</w:t>
      </w:r>
      <w:r w:rsidR="00A41309">
        <w:rPr>
          <w:rFonts w:asciiTheme="minorHAnsi" w:hAnsiTheme="minorHAnsi" w:cstheme="minorHAnsi"/>
          <w:sz w:val="24"/>
          <w:szCs w:val="24"/>
        </w:rPr>
        <w:t>SDGE CARE Profile</w:t>
      </w:r>
      <w:r w:rsidR="00D007D1">
        <w:rPr>
          <w:rFonts w:asciiTheme="minorHAnsi" w:hAnsiTheme="minorHAnsi" w:cstheme="minorHAnsi"/>
          <w:sz w:val="24"/>
          <w:szCs w:val="24"/>
        </w:rPr>
        <w:t>s</w:t>
      </w:r>
      <w:r w:rsidR="00A41309">
        <w:rPr>
          <w:rFonts w:asciiTheme="minorHAnsi" w:hAnsiTheme="minorHAnsi" w:cstheme="minorHAnsi"/>
          <w:sz w:val="24"/>
          <w:szCs w:val="24"/>
        </w:rPr>
        <w:t>”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374CAD" w:rsidRPr="00993277">
        <w:rPr>
          <w:rFonts w:asciiTheme="minorHAnsi" w:hAnsiTheme="minorHAnsi" w:cstheme="minorHAnsi"/>
          <w:sz w:val="24"/>
          <w:szCs w:val="24"/>
        </w:rPr>
        <w:t xml:space="preserve"> is provided to DRAM Bidders for informational purposes in compliance with CPUC Decision 16-11-022.</w:t>
      </w:r>
      <w:r w:rsidR="00993277">
        <w:rPr>
          <w:rStyle w:val="FootnoteReference"/>
          <w:rFonts w:asciiTheme="minorHAnsi" w:hAnsiTheme="minorHAnsi" w:cstheme="minorHAnsi"/>
          <w:sz w:val="24"/>
          <w:szCs w:val="24"/>
        </w:rPr>
        <w:footnoteReference w:id="1"/>
      </w:r>
      <w:r w:rsidR="00924540" w:rsidRPr="00993277">
        <w:rPr>
          <w:rFonts w:asciiTheme="minorHAnsi" w:hAnsiTheme="minorHAnsi" w:cstheme="minorHAnsi"/>
          <w:sz w:val="24"/>
          <w:szCs w:val="24"/>
        </w:rPr>
        <w:t xml:space="preserve">  The report was created by </w:t>
      </w:r>
      <w:proofErr w:type="spellStart"/>
      <w:r w:rsidR="00924540" w:rsidRPr="00993277">
        <w:rPr>
          <w:rFonts w:asciiTheme="minorHAnsi" w:hAnsiTheme="minorHAnsi" w:cstheme="minorHAnsi"/>
          <w:sz w:val="24"/>
          <w:szCs w:val="24"/>
        </w:rPr>
        <w:t>Uplight</w:t>
      </w:r>
      <w:proofErr w:type="spellEnd"/>
      <w:r w:rsidR="00924540" w:rsidRPr="00993277">
        <w:rPr>
          <w:rFonts w:asciiTheme="minorHAnsi" w:hAnsiTheme="minorHAnsi" w:cstheme="minorHAnsi"/>
          <w:sz w:val="24"/>
          <w:szCs w:val="24"/>
        </w:rPr>
        <w:t xml:space="preserve"> Inc.</w:t>
      </w:r>
      <w:r w:rsidR="00796BD6">
        <w:rPr>
          <w:rStyle w:val="FootnoteReference"/>
          <w:rFonts w:asciiTheme="minorHAnsi" w:hAnsiTheme="minorHAnsi" w:cstheme="minorHAnsi"/>
          <w:sz w:val="24"/>
          <w:szCs w:val="24"/>
        </w:rPr>
        <w:footnoteReference w:id="2"/>
      </w:r>
      <w:r w:rsidR="000B257D" w:rsidRPr="00993277">
        <w:rPr>
          <w:rFonts w:asciiTheme="minorHAnsi" w:hAnsiTheme="minorHAnsi" w:cstheme="minorHAnsi"/>
          <w:sz w:val="24"/>
          <w:szCs w:val="24"/>
        </w:rPr>
        <w:t xml:space="preserve"> </w:t>
      </w:r>
      <w:r w:rsidR="003C244E" w:rsidRPr="00993277">
        <w:rPr>
          <w:rFonts w:asciiTheme="minorHAnsi" w:hAnsiTheme="minorHAnsi" w:cstheme="minorHAnsi"/>
          <w:sz w:val="24"/>
          <w:szCs w:val="24"/>
        </w:rPr>
        <w:t xml:space="preserve">using </w:t>
      </w:r>
      <w:r w:rsidR="000B257D" w:rsidRPr="00993277">
        <w:rPr>
          <w:rFonts w:asciiTheme="minorHAnsi" w:hAnsiTheme="minorHAnsi" w:cstheme="minorHAnsi"/>
          <w:sz w:val="24"/>
          <w:szCs w:val="24"/>
        </w:rPr>
        <w:t xml:space="preserve">electric usage </w:t>
      </w:r>
      <w:r w:rsidR="003C244E" w:rsidRPr="00993277">
        <w:rPr>
          <w:rFonts w:asciiTheme="minorHAnsi" w:hAnsiTheme="minorHAnsi" w:cstheme="minorHAnsi"/>
          <w:sz w:val="24"/>
          <w:szCs w:val="24"/>
        </w:rPr>
        <w:t>data</w:t>
      </w:r>
      <w:r w:rsidR="000B257D" w:rsidRPr="00993277">
        <w:rPr>
          <w:rFonts w:asciiTheme="minorHAnsi" w:hAnsiTheme="minorHAnsi" w:cstheme="minorHAnsi"/>
          <w:sz w:val="24"/>
          <w:szCs w:val="24"/>
        </w:rPr>
        <w:t xml:space="preserve"> </w:t>
      </w:r>
      <w:r w:rsidR="00E744FB">
        <w:rPr>
          <w:rFonts w:asciiTheme="minorHAnsi" w:hAnsiTheme="minorHAnsi" w:cstheme="minorHAnsi"/>
          <w:sz w:val="24"/>
          <w:szCs w:val="24"/>
        </w:rPr>
        <w:t>of</w:t>
      </w:r>
      <w:r w:rsidR="000B257D" w:rsidRPr="00993277">
        <w:rPr>
          <w:rFonts w:asciiTheme="minorHAnsi" w:hAnsiTheme="minorHAnsi" w:cstheme="minorHAnsi"/>
          <w:sz w:val="24"/>
          <w:szCs w:val="24"/>
        </w:rPr>
        <w:t xml:space="preserve"> customers </w:t>
      </w:r>
      <w:r w:rsidR="00D52781">
        <w:rPr>
          <w:rFonts w:asciiTheme="minorHAnsi" w:hAnsiTheme="minorHAnsi" w:cstheme="minorHAnsi"/>
          <w:sz w:val="24"/>
          <w:szCs w:val="24"/>
        </w:rPr>
        <w:t xml:space="preserve">who were </w:t>
      </w:r>
      <w:r w:rsidR="000B257D" w:rsidRPr="00993277">
        <w:rPr>
          <w:rFonts w:asciiTheme="minorHAnsi" w:hAnsiTheme="minorHAnsi" w:cstheme="minorHAnsi"/>
          <w:sz w:val="24"/>
          <w:szCs w:val="24"/>
        </w:rPr>
        <w:t>enrolled in the California Alternate Rates for Energy (CARE) program</w:t>
      </w:r>
      <w:r w:rsidR="00D52781">
        <w:rPr>
          <w:rFonts w:asciiTheme="minorHAnsi" w:hAnsiTheme="minorHAnsi" w:cstheme="minorHAnsi"/>
          <w:sz w:val="24"/>
          <w:szCs w:val="24"/>
        </w:rPr>
        <w:t xml:space="preserve"> in December 2019.  The data in the analysis covers </w:t>
      </w:r>
      <w:r w:rsidR="001D4EC5" w:rsidRPr="00993277">
        <w:rPr>
          <w:rFonts w:asciiTheme="minorHAnsi" w:hAnsiTheme="minorHAnsi" w:cstheme="minorHAnsi"/>
          <w:sz w:val="24"/>
          <w:szCs w:val="24"/>
        </w:rPr>
        <w:t>the period of Novem</w:t>
      </w:r>
      <w:r w:rsidR="00E14BC6" w:rsidRPr="00993277">
        <w:rPr>
          <w:rFonts w:asciiTheme="minorHAnsi" w:hAnsiTheme="minorHAnsi" w:cstheme="minorHAnsi"/>
          <w:sz w:val="24"/>
          <w:szCs w:val="24"/>
        </w:rPr>
        <w:t xml:space="preserve">ber </w:t>
      </w:r>
      <w:r w:rsidR="000B257D" w:rsidRPr="00993277">
        <w:rPr>
          <w:rFonts w:asciiTheme="minorHAnsi" w:hAnsiTheme="minorHAnsi" w:cstheme="minorHAnsi"/>
          <w:sz w:val="24"/>
          <w:szCs w:val="24"/>
        </w:rPr>
        <w:t xml:space="preserve">2018 through October 2019. </w:t>
      </w:r>
    </w:p>
    <w:p w14:paraId="6DD37A93" w14:textId="77777777" w:rsidR="003C244E" w:rsidRPr="00993277" w:rsidRDefault="003C244E" w:rsidP="00FF16D1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14:paraId="0694B973" w14:textId="576E2EF6" w:rsidR="005808B7" w:rsidRDefault="00E744FB" w:rsidP="00FF16D1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Uplight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10B1A">
        <w:rPr>
          <w:rFonts w:asciiTheme="minorHAnsi" w:hAnsiTheme="minorHAnsi" w:cstheme="minorHAnsi"/>
          <w:sz w:val="24"/>
          <w:szCs w:val="24"/>
        </w:rPr>
        <w:t xml:space="preserve">used a combination of electric hourly </w:t>
      </w:r>
      <w:r w:rsidR="0021140F">
        <w:rPr>
          <w:rFonts w:asciiTheme="minorHAnsi" w:hAnsiTheme="minorHAnsi" w:cstheme="minorHAnsi"/>
          <w:sz w:val="24"/>
          <w:szCs w:val="24"/>
        </w:rPr>
        <w:t>Advanced Metering Infrastructure (AMI)</w:t>
      </w:r>
      <w:r w:rsidR="00410B1A">
        <w:rPr>
          <w:rFonts w:asciiTheme="minorHAnsi" w:hAnsiTheme="minorHAnsi" w:cstheme="minorHAnsi"/>
          <w:sz w:val="24"/>
          <w:szCs w:val="24"/>
        </w:rPr>
        <w:t xml:space="preserve"> data</w:t>
      </w:r>
      <w:r w:rsidR="003650D2">
        <w:rPr>
          <w:rFonts w:asciiTheme="minorHAnsi" w:hAnsiTheme="minorHAnsi" w:cstheme="minorHAnsi"/>
          <w:sz w:val="24"/>
          <w:szCs w:val="24"/>
        </w:rPr>
        <w:t xml:space="preserve">, </w:t>
      </w:r>
      <w:r w:rsidR="00FF16D1" w:rsidRPr="00993277">
        <w:rPr>
          <w:rFonts w:asciiTheme="minorHAnsi" w:hAnsiTheme="minorHAnsi" w:cstheme="minorHAnsi"/>
          <w:sz w:val="24"/>
          <w:szCs w:val="24"/>
        </w:rPr>
        <w:t>weather</w:t>
      </w:r>
      <w:r w:rsidR="00D156BC">
        <w:rPr>
          <w:rFonts w:asciiTheme="minorHAnsi" w:hAnsiTheme="minorHAnsi" w:cstheme="minorHAnsi"/>
          <w:sz w:val="24"/>
          <w:szCs w:val="24"/>
        </w:rPr>
        <w:t xml:space="preserve"> data</w:t>
      </w:r>
      <w:r w:rsidR="003650D2">
        <w:rPr>
          <w:rFonts w:asciiTheme="minorHAnsi" w:hAnsiTheme="minorHAnsi" w:cstheme="minorHAnsi"/>
          <w:sz w:val="24"/>
          <w:szCs w:val="24"/>
        </w:rPr>
        <w:t xml:space="preserve"> and</w:t>
      </w:r>
      <w:r w:rsidR="00D156BC">
        <w:rPr>
          <w:rFonts w:asciiTheme="minorHAnsi" w:hAnsiTheme="minorHAnsi" w:cstheme="minorHAnsi"/>
          <w:sz w:val="24"/>
          <w:szCs w:val="24"/>
        </w:rPr>
        <w:t xml:space="preserve"> </w:t>
      </w:r>
      <w:r w:rsidR="003650D2">
        <w:rPr>
          <w:rFonts w:asciiTheme="minorHAnsi" w:hAnsiTheme="minorHAnsi" w:cstheme="minorHAnsi"/>
          <w:sz w:val="24"/>
          <w:szCs w:val="24"/>
        </w:rPr>
        <w:t>building characteristic</w:t>
      </w:r>
      <w:r w:rsidR="0021140F">
        <w:rPr>
          <w:rFonts w:asciiTheme="minorHAnsi" w:hAnsiTheme="minorHAnsi" w:cstheme="minorHAnsi"/>
          <w:sz w:val="24"/>
          <w:szCs w:val="24"/>
        </w:rPr>
        <w:t>s data</w:t>
      </w:r>
      <w:r w:rsidR="003650D2">
        <w:rPr>
          <w:rFonts w:asciiTheme="minorHAnsi" w:hAnsiTheme="minorHAnsi" w:cstheme="minorHAnsi"/>
          <w:sz w:val="24"/>
          <w:szCs w:val="24"/>
        </w:rPr>
        <w:t xml:space="preserve"> </w:t>
      </w:r>
      <w:r w:rsidR="00D156BC">
        <w:rPr>
          <w:rFonts w:asciiTheme="minorHAnsi" w:hAnsiTheme="minorHAnsi" w:cstheme="minorHAnsi"/>
          <w:sz w:val="24"/>
          <w:szCs w:val="24"/>
        </w:rPr>
        <w:t>to disaggregate</w:t>
      </w:r>
      <w:r w:rsidR="00BD0E70">
        <w:rPr>
          <w:rFonts w:asciiTheme="minorHAnsi" w:hAnsiTheme="minorHAnsi" w:cstheme="minorHAnsi"/>
          <w:sz w:val="24"/>
          <w:szCs w:val="24"/>
        </w:rPr>
        <w:t xml:space="preserve"> each customer’s</w:t>
      </w:r>
      <w:r w:rsidR="00D156BC">
        <w:rPr>
          <w:rFonts w:asciiTheme="minorHAnsi" w:hAnsiTheme="minorHAnsi" w:cstheme="minorHAnsi"/>
          <w:sz w:val="24"/>
          <w:szCs w:val="24"/>
        </w:rPr>
        <w:t xml:space="preserve"> </w:t>
      </w:r>
      <w:r w:rsidR="00BD0E70">
        <w:rPr>
          <w:rFonts w:asciiTheme="minorHAnsi" w:hAnsiTheme="minorHAnsi" w:cstheme="minorHAnsi"/>
          <w:sz w:val="24"/>
          <w:szCs w:val="24"/>
        </w:rPr>
        <w:t xml:space="preserve">total </w:t>
      </w:r>
      <w:r w:rsidR="00D156BC">
        <w:rPr>
          <w:rFonts w:asciiTheme="minorHAnsi" w:hAnsiTheme="minorHAnsi" w:cstheme="minorHAnsi"/>
          <w:sz w:val="24"/>
          <w:szCs w:val="24"/>
        </w:rPr>
        <w:t>annual load into four</w:t>
      </w:r>
      <w:r w:rsidR="00BD0E70">
        <w:rPr>
          <w:rFonts w:asciiTheme="minorHAnsi" w:hAnsiTheme="minorHAnsi" w:cstheme="minorHAnsi"/>
          <w:sz w:val="24"/>
          <w:szCs w:val="24"/>
        </w:rPr>
        <w:t xml:space="preserve"> categories:  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heating, cooling, light &amp; appliances, and always on. </w:t>
      </w:r>
      <w:r w:rsidR="00BD0E70">
        <w:rPr>
          <w:rFonts w:asciiTheme="minorHAnsi" w:hAnsiTheme="minorHAnsi" w:cstheme="minorHAnsi"/>
          <w:sz w:val="24"/>
          <w:szCs w:val="24"/>
        </w:rPr>
        <w:t xml:space="preserve"> </w:t>
      </w:r>
      <w:r w:rsidR="00C6018A">
        <w:rPr>
          <w:rFonts w:asciiTheme="minorHAnsi" w:hAnsiTheme="minorHAnsi" w:cstheme="minorHAnsi"/>
          <w:sz w:val="24"/>
          <w:szCs w:val="24"/>
        </w:rPr>
        <w:t>T</w:t>
      </w:r>
      <w:r w:rsidR="00FF16D1" w:rsidRPr="00993277">
        <w:rPr>
          <w:rFonts w:asciiTheme="minorHAnsi" w:hAnsiTheme="minorHAnsi" w:cstheme="minorHAnsi"/>
          <w:sz w:val="24"/>
          <w:szCs w:val="24"/>
        </w:rPr>
        <w:t>he summer period</w:t>
      </w:r>
      <w:r w:rsidR="00C6018A">
        <w:rPr>
          <w:rFonts w:asciiTheme="minorHAnsi" w:hAnsiTheme="minorHAnsi" w:cstheme="minorHAnsi"/>
          <w:sz w:val="24"/>
          <w:szCs w:val="24"/>
        </w:rPr>
        <w:t xml:space="preserve"> was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 defined as May 01</w:t>
      </w:r>
      <w:r w:rsidR="0021140F">
        <w:rPr>
          <w:rFonts w:asciiTheme="minorHAnsi" w:hAnsiTheme="minorHAnsi" w:cstheme="minorHAnsi"/>
          <w:sz w:val="24"/>
          <w:szCs w:val="24"/>
        </w:rPr>
        <w:t>,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 2019 through October 31</w:t>
      </w:r>
      <w:r w:rsidR="0021140F">
        <w:rPr>
          <w:rFonts w:asciiTheme="minorHAnsi" w:hAnsiTheme="minorHAnsi" w:cstheme="minorHAnsi"/>
          <w:sz w:val="24"/>
          <w:szCs w:val="24"/>
        </w:rPr>
        <w:t>,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 2019</w:t>
      </w:r>
      <w:r w:rsidR="0021140F">
        <w:rPr>
          <w:rFonts w:asciiTheme="minorHAnsi" w:hAnsiTheme="minorHAnsi" w:cstheme="minorHAnsi"/>
          <w:sz w:val="24"/>
          <w:szCs w:val="24"/>
        </w:rPr>
        <w:t>;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 and the winter period</w:t>
      </w:r>
      <w:r w:rsidR="00C6018A">
        <w:rPr>
          <w:rFonts w:asciiTheme="minorHAnsi" w:hAnsiTheme="minorHAnsi" w:cstheme="minorHAnsi"/>
          <w:sz w:val="24"/>
          <w:szCs w:val="24"/>
        </w:rPr>
        <w:t xml:space="preserve"> was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 defined as November 01</w:t>
      </w:r>
      <w:r w:rsidR="0021140F">
        <w:rPr>
          <w:rFonts w:asciiTheme="minorHAnsi" w:hAnsiTheme="minorHAnsi" w:cstheme="minorHAnsi"/>
          <w:sz w:val="24"/>
          <w:szCs w:val="24"/>
        </w:rPr>
        <w:t>,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 2018 through April 30</w:t>
      </w:r>
      <w:r w:rsidR="0021140F">
        <w:rPr>
          <w:rFonts w:asciiTheme="minorHAnsi" w:hAnsiTheme="minorHAnsi" w:cstheme="minorHAnsi"/>
          <w:sz w:val="24"/>
          <w:szCs w:val="24"/>
        </w:rPr>
        <w:t>,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 2019. Th</w:t>
      </w:r>
      <w:r w:rsidR="00C6018A">
        <w:rPr>
          <w:rFonts w:asciiTheme="minorHAnsi" w:hAnsiTheme="minorHAnsi" w:cstheme="minorHAnsi"/>
          <w:sz w:val="24"/>
          <w:szCs w:val="24"/>
        </w:rPr>
        <w:t>e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 analysis</w:t>
      </w:r>
      <w:r w:rsidR="00C6018A">
        <w:rPr>
          <w:rFonts w:asciiTheme="minorHAnsi" w:hAnsiTheme="minorHAnsi" w:cstheme="minorHAnsi"/>
          <w:sz w:val="24"/>
          <w:szCs w:val="24"/>
        </w:rPr>
        <w:t xml:space="preserve"> excluded </w:t>
      </w:r>
      <w:r w:rsidR="00FF16D1" w:rsidRPr="00993277">
        <w:rPr>
          <w:rFonts w:asciiTheme="minorHAnsi" w:hAnsiTheme="minorHAnsi" w:cstheme="minorHAnsi"/>
          <w:sz w:val="24"/>
          <w:szCs w:val="24"/>
        </w:rPr>
        <w:t>sub-metered</w:t>
      </w:r>
      <w:r w:rsidR="008834B2">
        <w:rPr>
          <w:rFonts w:asciiTheme="minorHAnsi" w:hAnsiTheme="minorHAnsi" w:cstheme="minorHAnsi"/>
          <w:sz w:val="24"/>
          <w:szCs w:val="24"/>
        </w:rPr>
        <w:t xml:space="preserve"> accounts,</w:t>
      </w:r>
      <w:r w:rsidR="00FF16D1" w:rsidRPr="00993277">
        <w:rPr>
          <w:rFonts w:asciiTheme="minorHAnsi" w:hAnsiTheme="minorHAnsi" w:cstheme="minorHAnsi"/>
          <w:sz w:val="24"/>
          <w:szCs w:val="24"/>
        </w:rPr>
        <w:t xml:space="preserve"> net-metered </w:t>
      </w:r>
      <w:r w:rsidR="00123A5E">
        <w:rPr>
          <w:rFonts w:asciiTheme="minorHAnsi" w:hAnsiTheme="minorHAnsi" w:cstheme="minorHAnsi"/>
          <w:sz w:val="24"/>
          <w:szCs w:val="24"/>
        </w:rPr>
        <w:t>accounts</w:t>
      </w:r>
      <w:r w:rsidR="008834B2">
        <w:rPr>
          <w:rFonts w:asciiTheme="minorHAnsi" w:hAnsiTheme="minorHAnsi" w:cstheme="minorHAnsi"/>
          <w:sz w:val="24"/>
          <w:szCs w:val="24"/>
        </w:rPr>
        <w:t>,</w:t>
      </w:r>
      <w:r w:rsidR="00123A5E">
        <w:rPr>
          <w:rFonts w:asciiTheme="minorHAnsi" w:hAnsiTheme="minorHAnsi" w:cstheme="minorHAnsi"/>
          <w:sz w:val="24"/>
          <w:szCs w:val="24"/>
        </w:rPr>
        <w:t xml:space="preserve"> and accounts with less than </w:t>
      </w:r>
      <w:r w:rsidR="00FF16D1" w:rsidRPr="00993277">
        <w:rPr>
          <w:rFonts w:asciiTheme="minorHAnsi" w:hAnsiTheme="minorHAnsi" w:cstheme="minorHAnsi"/>
          <w:sz w:val="24"/>
          <w:szCs w:val="24"/>
        </w:rPr>
        <w:t>a full year</w:t>
      </w:r>
      <w:r w:rsidR="00CE42BE">
        <w:rPr>
          <w:rFonts w:asciiTheme="minorHAnsi" w:hAnsiTheme="minorHAnsi" w:cstheme="minorHAnsi"/>
          <w:sz w:val="24"/>
          <w:szCs w:val="24"/>
        </w:rPr>
        <w:t xml:space="preserve"> of</w:t>
      </w:r>
      <w:r w:rsidR="00BB2DCA">
        <w:rPr>
          <w:rFonts w:asciiTheme="minorHAnsi" w:hAnsiTheme="minorHAnsi" w:cstheme="minorHAnsi"/>
          <w:sz w:val="24"/>
          <w:szCs w:val="24"/>
        </w:rPr>
        <w:t xml:space="preserve"> usage data.</w:t>
      </w:r>
      <w:r w:rsidR="00CE42BE">
        <w:rPr>
          <w:rFonts w:asciiTheme="minorHAnsi" w:hAnsiTheme="minorHAnsi" w:cstheme="minorHAnsi"/>
          <w:sz w:val="24"/>
          <w:szCs w:val="24"/>
        </w:rPr>
        <w:t xml:space="preserve">  </w:t>
      </w:r>
      <w:r w:rsidR="00BB2DCA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62BC9AF3" w14:textId="77777777" w:rsidR="005808B7" w:rsidRDefault="005808B7" w:rsidP="00FF16D1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14:paraId="3E52D1BA" w14:textId="12EC5F13" w:rsidR="00032E20" w:rsidRDefault="005808B7" w:rsidP="00FF16D1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The results</w:t>
      </w:r>
      <w:r w:rsidR="00942AA3">
        <w:rPr>
          <w:rFonts w:asciiTheme="minorHAnsi" w:hAnsiTheme="minorHAnsi" w:cstheme="minorHAnsi"/>
          <w:sz w:val="24"/>
          <w:szCs w:val="24"/>
        </w:rPr>
        <w:t xml:space="preserve"> in the attached file “SDG</w:t>
      </w:r>
      <w:bookmarkStart w:id="0" w:name="_GoBack"/>
      <w:bookmarkEnd w:id="0"/>
      <w:r w:rsidR="00942AA3">
        <w:rPr>
          <w:rFonts w:asciiTheme="minorHAnsi" w:hAnsiTheme="minorHAnsi" w:cstheme="minorHAnsi"/>
          <w:sz w:val="24"/>
          <w:szCs w:val="24"/>
        </w:rPr>
        <w:t>E CARE</w:t>
      </w:r>
      <w:r w:rsidR="00D00CF7">
        <w:rPr>
          <w:rFonts w:asciiTheme="minorHAnsi" w:hAnsiTheme="minorHAnsi" w:cstheme="minorHAnsi"/>
          <w:sz w:val="24"/>
          <w:szCs w:val="24"/>
        </w:rPr>
        <w:t xml:space="preserve"> </w:t>
      </w:r>
      <w:r w:rsidR="00942AA3">
        <w:rPr>
          <w:rFonts w:asciiTheme="minorHAnsi" w:hAnsiTheme="minorHAnsi" w:cstheme="minorHAnsi"/>
          <w:sz w:val="24"/>
          <w:szCs w:val="24"/>
        </w:rPr>
        <w:t>Profile</w:t>
      </w:r>
      <w:r w:rsidR="00EC4CDE">
        <w:rPr>
          <w:rFonts w:asciiTheme="minorHAnsi" w:hAnsiTheme="minorHAnsi" w:cstheme="minorHAnsi"/>
          <w:sz w:val="24"/>
          <w:szCs w:val="24"/>
        </w:rPr>
        <w:t>s</w:t>
      </w:r>
      <w:r w:rsidR="00942AA3">
        <w:rPr>
          <w:rFonts w:asciiTheme="minorHAnsi" w:hAnsiTheme="minorHAnsi" w:cstheme="minorHAnsi"/>
          <w:sz w:val="24"/>
          <w:szCs w:val="24"/>
        </w:rPr>
        <w:t>”</w:t>
      </w:r>
      <w:r>
        <w:rPr>
          <w:rFonts w:asciiTheme="minorHAnsi" w:hAnsiTheme="minorHAnsi" w:cstheme="minorHAnsi"/>
          <w:sz w:val="24"/>
          <w:szCs w:val="24"/>
        </w:rPr>
        <w:t xml:space="preserve"> are aggregated by zip</w:t>
      </w:r>
      <w:r w:rsidR="00612FF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code</w:t>
      </w:r>
      <w:r w:rsidR="00314579">
        <w:rPr>
          <w:rFonts w:asciiTheme="minorHAnsi" w:hAnsiTheme="minorHAnsi" w:cstheme="minorHAnsi"/>
          <w:sz w:val="24"/>
          <w:szCs w:val="24"/>
        </w:rPr>
        <w:t xml:space="preserve"> to comply with customer data privacy</w:t>
      </w:r>
      <w:r w:rsidR="003C1B88">
        <w:rPr>
          <w:rFonts w:asciiTheme="minorHAnsi" w:hAnsiTheme="minorHAnsi" w:cstheme="minorHAnsi"/>
          <w:sz w:val="24"/>
          <w:szCs w:val="24"/>
        </w:rPr>
        <w:t xml:space="preserve"> practices.  </w:t>
      </w:r>
      <w:r w:rsidR="009A0B7F">
        <w:rPr>
          <w:rFonts w:asciiTheme="minorHAnsi" w:hAnsiTheme="minorHAnsi" w:cstheme="minorHAnsi"/>
          <w:sz w:val="24"/>
          <w:szCs w:val="24"/>
        </w:rPr>
        <w:t>SDG&amp;E provides these results for informational purposes only</w:t>
      </w:r>
      <w:r w:rsidR="001A55EC">
        <w:rPr>
          <w:rFonts w:asciiTheme="minorHAnsi" w:hAnsiTheme="minorHAnsi" w:cstheme="minorHAnsi"/>
          <w:sz w:val="24"/>
          <w:szCs w:val="24"/>
        </w:rPr>
        <w:t xml:space="preserve"> in compliance with the above referenced Decision.  </w:t>
      </w:r>
      <w:r w:rsidR="00FA0EAD">
        <w:rPr>
          <w:rFonts w:asciiTheme="minorHAnsi" w:hAnsiTheme="minorHAnsi" w:cstheme="minorHAnsi"/>
          <w:sz w:val="24"/>
          <w:szCs w:val="24"/>
        </w:rPr>
        <w:t>Table 1 provides</w:t>
      </w:r>
      <w:r w:rsidR="001A55EC">
        <w:rPr>
          <w:rFonts w:asciiTheme="minorHAnsi" w:hAnsiTheme="minorHAnsi" w:cstheme="minorHAnsi"/>
          <w:sz w:val="24"/>
          <w:szCs w:val="24"/>
        </w:rPr>
        <w:t xml:space="preserve"> </w:t>
      </w:r>
      <w:r w:rsidR="00D30463">
        <w:rPr>
          <w:rFonts w:asciiTheme="minorHAnsi" w:hAnsiTheme="minorHAnsi" w:cstheme="minorHAnsi"/>
          <w:sz w:val="24"/>
          <w:szCs w:val="24"/>
        </w:rPr>
        <w:t>examples of appliances that may be included in each disaggregated end use category</w:t>
      </w:r>
      <w:r w:rsidR="00FA0EAD">
        <w:rPr>
          <w:rFonts w:asciiTheme="minorHAnsi" w:hAnsiTheme="minorHAnsi" w:cstheme="minorHAnsi"/>
          <w:sz w:val="24"/>
          <w:szCs w:val="24"/>
        </w:rPr>
        <w:t xml:space="preserve">.  Actual household appliance inventory was unknown for the analysis.  </w:t>
      </w:r>
      <w:r w:rsidR="00D30463">
        <w:rPr>
          <w:rFonts w:asciiTheme="minorHAnsi" w:hAnsiTheme="minorHAnsi" w:cstheme="minorHAnsi"/>
          <w:sz w:val="24"/>
          <w:szCs w:val="24"/>
        </w:rPr>
        <w:t xml:space="preserve"> </w:t>
      </w:r>
      <w:r w:rsidR="00FA0EAD">
        <w:rPr>
          <w:rFonts w:asciiTheme="minorHAnsi" w:hAnsiTheme="minorHAnsi" w:cstheme="minorHAnsi"/>
          <w:sz w:val="24"/>
          <w:szCs w:val="24"/>
        </w:rPr>
        <w:t>Table 2 provides brief</w:t>
      </w:r>
      <w:r w:rsidR="00D30463">
        <w:rPr>
          <w:rFonts w:asciiTheme="minorHAnsi" w:hAnsiTheme="minorHAnsi" w:cstheme="minorHAnsi"/>
          <w:sz w:val="24"/>
          <w:szCs w:val="24"/>
        </w:rPr>
        <w:t xml:space="preserve"> descriptions of the </w:t>
      </w:r>
      <w:r w:rsidR="00942AA3">
        <w:rPr>
          <w:rFonts w:asciiTheme="minorHAnsi" w:hAnsiTheme="minorHAnsi" w:cstheme="minorHAnsi"/>
          <w:sz w:val="24"/>
          <w:szCs w:val="24"/>
        </w:rPr>
        <w:t>field names in the results file.</w:t>
      </w:r>
      <w:r w:rsidR="00581288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6889DA1" w14:textId="77777777" w:rsidR="00032E20" w:rsidRDefault="00032E20" w:rsidP="00FF16D1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14:paraId="071991AE" w14:textId="58F87ED2" w:rsidR="00C805CF" w:rsidRPr="002523C0" w:rsidRDefault="001726AC" w:rsidP="001726AC">
      <w:pPr>
        <w:pStyle w:val="PlainText"/>
        <w:spacing w:after="12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Table 1:  </w:t>
      </w:r>
      <w:r w:rsidR="00C805CF" w:rsidRPr="002523C0">
        <w:rPr>
          <w:rFonts w:asciiTheme="minorHAnsi" w:hAnsiTheme="minorHAnsi" w:cstheme="minorHAnsi"/>
          <w:b/>
          <w:sz w:val="24"/>
          <w:szCs w:val="24"/>
        </w:rPr>
        <w:t>Examples of Possible Appliances in End Use Categories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2155"/>
        <w:gridCol w:w="2043"/>
        <w:gridCol w:w="2277"/>
        <w:gridCol w:w="2880"/>
      </w:tblGrid>
      <w:tr w:rsidR="008F19D5" w14:paraId="5867F123" w14:textId="77777777" w:rsidTr="00F226D9">
        <w:tc>
          <w:tcPr>
            <w:tcW w:w="2155" w:type="dxa"/>
            <w:vAlign w:val="center"/>
          </w:tcPr>
          <w:p w14:paraId="384B191A" w14:textId="16A62FE6" w:rsidR="008F19D5" w:rsidRPr="002523C0" w:rsidRDefault="004832B9" w:rsidP="002523C0">
            <w:pPr>
              <w:pStyle w:val="Plain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b/>
                <w:sz w:val="22"/>
                <w:szCs w:val="22"/>
              </w:rPr>
              <w:t>Heating</w:t>
            </w:r>
          </w:p>
        </w:tc>
        <w:tc>
          <w:tcPr>
            <w:tcW w:w="2043" w:type="dxa"/>
            <w:vAlign w:val="center"/>
          </w:tcPr>
          <w:p w14:paraId="340ED748" w14:textId="416734DC" w:rsidR="008F19D5" w:rsidRPr="002523C0" w:rsidRDefault="004832B9" w:rsidP="002523C0">
            <w:pPr>
              <w:pStyle w:val="Plain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b/>
                <w:sz w:val="22"/>
                <w:szCs w:val="22"/>
              </w:rPr>
              <w:t>Cooling</w:t>
            </w:r>
          </w:p>
        </w:tc>
        <w:tc>
          <w:tcPr>
            <w:tcW w:w="2277" w:type="dxa"/>
            <w:vAlign w:val="center"/>
          </w:tcPr>
          <w:p w14:paraId="3865C105" w14:textId="03BE7F11" w:rsidR="008F19D5" w:rsidRPr="002523C0" w:rsidRDefault="004832B9" w:rsidP="002523C0">
            <w:pPr>
              <w:pStyle w:val="Plain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b/>
                <w:sz w:val="22"/>
                <w:szCs w:val="22"/>
              </w:rPr>
              <w:t>Lights &amp; Appliances</w:t>
            </w:r>
          </w:p>
        </w:tc>
        <w:tc>
          <w:tcPr>
            <w:tcW w:w="2880" w:type="dxa"/>
            <w:vAlign w:val="center"/>
          </w:tcPr>
          <w:p w14:paraId="32AAAAD1" w14:textId="69F3C80C" w:rsidR="008F19D5" w:rsidRPr="002523C0" w:rsidRDefault="004832B9" w:rsidP="002523C0">
            <w:pPr>
              <w:pStyle w:val="PlainTex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b/>
                <w:sz w:val="22"/>
                <w:szCs w:val="22"/>
              </w:rPr>
              <w:t>Always On</w:t>
            </w:r>
          </w:p>
        </w:tc>
      </w:tr>
      <w:tr w:rsidR="000B0BFE" w14:paraId="2160C640" w14:textId="77777777" w:rsidTr="00F226D9">
        <w:trPr>
          <w:trHeight w:val="3968"/>
        </w:trPr>
        <w:tc>
          <w:tcPr>
            <w:tcW w:w="2155" w:type="dxa"/>
          </w:tcPr>
          <w:p w14:paraId="3BBE1E35" w14:textId="35CD49CF" w:rsidR="000B0BFE" w:rsidRPr="002523C0" w:rsidRDefault="000B0BFE" w:rsidP="00F226D9">
            <w:pPr>
              <w:pStyle w:val="PlainTex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Baseboard heaters</w:t>
            </w:r>
          </w:p>
          <w:p w14:paraId="0799B837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Portable space heaters</w:t>
            </w:r>
          </w:p>
          <w:p w14:paraId="2F3CCB1B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Electric furnaces</w:t>
            </w:r>
          </w:p>
          <w:p w14:paraId="4A489C55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Furnace fans</w:t>
            </w:r>
          </w:p>
          <w:p w14:paraId="5EA23455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Electric wall heaters</w:t>
            </w:r>
          </w:p>
          <w:p w14:paraId="0FBE7759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Electric heat pumps</w:t>
            </w:r>
          </w:p>
          <w:p w14:paraId="269AA40F" w14:textId="1DC2D084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3" w:type="dxa"/>
          </w:tcPr>
          <w:p w14:paraId="476E9B74" w14:textId="41D81D8C" w:rsidR="000B0BFE" w:rsidRPr="002523C0" w:rsidRDefault="000B0BFE" w:rsidP="00F226D9">
            <w:pPr>
              <w:pStyle w:val="PlainTex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Air Conditioning units (wall, window, central)</w:t>
            </w:r>
          </w:p>
          <w:p w14:paraId="794E9192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Dehumidifiers</w:t>
            </w:r>
          </w:p>
          <w:p w14:paraId="56338579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Evaporative coolers</w:t>
            </w:r>
          </w:p>
          <w:p w14:paraId="1194617B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Ceiling/room fans</w:t>
            </w:r>
          </w:p>
          <w:p w14:paraId="15948CD9" w14:textId="046C5C1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Electric heat pumps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14:paraId="671D2F46" w14:textId="5C60CBF6" w:rsidR="000B0BFE" w:rsidRPr="002523C0" w:rsidRDefault="000B0BFE" w:rsidP="00F226D9">
            <w:pPr>
              <w:pStyle w:val="PlainTex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Lights</w:t>
            </w:r>
          </w:p>
          <w:p w14:paraId="65AB6B8A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Clothes washers</w:t>
            </w:r>
          </w:p>
          <w:p w14:paraId="7C498889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Clothes dryers</w:t>
            </w:r>
          </w:p>
          <w:p w14:paraId="2C07F631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Dishwashers</w:t>
            </w:r>
          </w:p>
          <w:p w14:paraId="487C8A8B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Electric water heaters</w:t>
            </w:r>
          </w:p>
          <w:p w14:paraId="6CDBE10B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Electric heat pump water heaters</w:t>
            </w:r>
          </w:p>
          <w:p w14:paraId="4A554813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Pool pumps and filters</w:t>
            </w:r>
          </w:p>
          <w:p w14:paraId="44BADC17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Electric vehicles</w:t>
            </w:r>
          </w:p>
          <w:p w14:paraId="7EEC198D" w14:textId="0AA6FA96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 xml:space="preserve">Electric </w:t>
            </w:r>
            <w:r w:rsidR="00E163E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toves &amp; ovens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EC401D3" w14:textId="50E498A6" w:rsidR="000B0BFE" w:rsidRPr="002523C0" w:rsidRDefault="000B0BFE" w:rsidP="00F226D9">
            <w:pPr>
              <w:pStyle w:val="PlainTex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Refrigerators/freezers</w:t>
            </w:r>
          </w:p>
          <w:p w14:paraId="7086F2B6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Chargers</w:t>
            </w:r>
          </w:p>
          <w:p w14:paraId="041A2216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Computers</w:t>
            </w:r>
          </w:p>
          <w:p w14:paraId="799A641B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Game consoles</w:t>
            </w:r>
          </w:p>
          <w:p w14:paraId="32FF4FE7" w14:textId="77777777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Personal video recorders on standby</w:t>
            </w:r>
          </w:p>
          <w:p w14:paraId="429D2352" w14:textId="07A92092" w:rsidR="000B0BFE" w:rsidRPr="002523C0" w:rsidRDefault="000B0BFE" w:rsidP="00E163EA">
            <w:pPr>
              <w:pStyle w:val="PlainText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23C0">
              <w:rPr>
                <w:rFonts w:asciiTheme="minorHAnsi" w:hAnsiTheme="minorHAnsi" w:cstheme="minorHAnsi"/>
                <w:sz w:val="22"/>
                <w:szCs w:val="22"/>
              </w:rPr>
              <w:t>Clocks</w:t>
            </w:r>
          </w:p>
        </w:tc>
      </w:tr>
    </w:tbl>
    <w:p w14:paraId="51170762" w14:textId="7B8325F8" w:rsidR="008F19D5" w:rsidRPr="008F19D5" w:rsidRDefault="008F19D5" w:rsidP="00FF16D1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14:paraId="7154A675" w14:textId="77777777" w:rsidR="008F19D5" w:rsidRPr="008F19D5" w:rsidRDefault="008F19D5" w:rsidP="00FF16D1">
      <w:pPr>
        <w:pStyle w:val="PlainText"/>
        <w:rPr>
          <w:rFonts w:asciiTheme="minorHAnsi" w:hAnsiTheme="minorHAnsi" w:cstheme="minorHAnsi"/>
          <w:sz w:val="24"/>
          <w:szCs w:val="24"/>
          <w:u w:val="single"/>
        </w:rPr>
      </w:pPr>
    </w:p>
    <w:p w14:paraId="60D197A6" w14:textId="77777777" w:rsidR="001726AC" w:rsidRDefault="001726AC" w:rsidP="00702295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14:paraId="7F363287" w14:textId="7DC447CC" w:rsidR="001726AC" w:rsidRDefault="001726AC" w:rsidP="00F226D9">
      <w:pPr>
        <w:pStyle w:val="PlainText"/>
        <w:keepNext/>
        <w:keepLines/>
        <w:spacing w:after="120"/>
        <w:rPr>
          <w:rFonts w:asciiTheme="minorHAnsi" w:hAnsiTheme="minorHAnsi" w:cstheme="minorHAnsi"/>
          <w:b/>
          <w:sz w:val="24"/>
          <w:szCs w:val="24"/>
        </w:rPr>
      </w:pPr>
      <w:r w:rsidRPr="001726AC">
        <w:rPr>
          <w:rFonts w:asciiTheme="minorHAnsi" w:hAnsiTheme="minorHAnsi" w:cstheme="minorHAnsi"/>
          <w:b/>
          <w:sz w:val="24"/>
          <w:szCs w:val="24"/>
        </w:rPr>
        <w:lastRenderedPageBreak/>
        <w:t>Table 2:  Field Name Descriptions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3"/>
        <w:gridCol w:w="6074"/>
      </w:tblGrid>
      <w:tr w:rsidR="001726AC" w14:paraId="79070D02" w14:textId="77777777" w:rsidTr="00F226D9">
        <w:trPr>
          <w:trHeight w:val="288"/>
        </w:trPr>
        <w:tc>
          <w:tcPr>
            <w:tcW w:w="3153" w:type="dxa"/>
          </w:tcPr>
          <w:p w14:paraId="68F9C42F" w14:textId="66ACCCAC" w:rsidR="001726AC" w:rsidRDefault="001726AC" w:rsidP="00F226D9">
            <w:pPr>
              <w:pStyle w:val="PlainText"/>
              <w:keepNext/>
              <w:keepLines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Field Name</w:t>
            </w:r>
          </w:p>
        </w:tc>
        <w:tc>
          <w:tcPr>
            <w:tcW w:w="6074" w:type="dxa"/>
          </w:tcPr>
          <w:p w14:paraId="50E840B4" w14:textId="39824500" w:rsidR="001726AC" w:rsidRDefault="001726AC" w:rsidP="00F226D9">
            <w:pPr>
              <w:pStyle w:val="PlainText"/>
              <w:keepNext/>
              <w:keepLines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Description</w:t>
            </w:r>
          </w:p>
        </w:tc>
      </w:tr>
      <w:tr w:rsidR="008F01B6" w14:paraId="463C92CB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1E8AFAD8" w14:textId="6BFDADB1" w:rsidR="008F01B6" w:rsidRPr="00F226D9" w:rsidRDefault="008F01B6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ZipCode</w:t>
            </w:r>
            <w:proofErr w:type="spellEnd"/>
          </w:p>
        </w:tc>
        <w:tc>
          <w:tcPr>
            <w:tcW w:w="6074" w:type="dxa"/>
          </w:tcPr>
          <w:p w14:paraId="54C5E059" w14:textId="0513D846" w:rsidR="008F01B6" w:rsidRPr="00F226D9" w:rsidRDefault="00F226D9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>Postal code used to aggregate results</w:t>
            </w:r>
          </w:p>
        </w:tc>
      </w:tr>
      <w:tr w:rsidR="008F01B6" w:rsidRPr="00361EE1" w14:paraId="5DB1638E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1CD85522" w14:textId="7DFD59F4" w:rsidR="008F01B6" w:rsidRPr="00F226D9" w:rsidRDefault="008F01B6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CustomerCount</w:t>
            </w:r>
            <w:proofErr w:type="spellEnd"/>
          </w:p>
        </w:tc>
        <w:tc>
          <w:tcPr>
            <w:tcW w:w="6074" w:type="dxa"/>
          </w:tcPr>
          <w:p w14:paraId="3246B598" w14:textId="0DE1C78A" w:rsidR="008F01B6" w:rsidRPr="00F226D9" w:rsidRDefault="00361EE1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>Number of unique premises included</w:t>
            </w:r>
          </w:p>
        </w:tc>
      </w:tr>
      <w:tr w:rsidR="008F01B6" w:rsidRPr="00361EE1" w14:paraId="07932207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79452888" w14:textId="7B70F32D" w:rsidR="008F01B6" w:rsidRPr="00F226D9" w:rsidRDefault="008F01B6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AvgSummerUsageKwh</w:t>
            </w:r>
            <w:proofErr w:type="spellEnd"/>
          </w:p>
        </w:tc>
        <w:tc>
          <w:tcPr>
            <w:tcW w:w="6074" w:type="dxa"/>
          </w:tcPr>
          <w:p w14:paraId="6D30E376" w14:textId="0002C649" w:rsidR="008F01B6" w:rsidRPr="00F226D9" w:rsidRDefault="002F29E8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 xml:space="preserve">Average household kWh for </w:t>
            </w:r>
            <w:r w:rsidR="00286DF4" w:rsidRPr="00F226D9">
              <w:rPr>
                <w:rFonts w:asciiTheme="minorHAnsi" w:hAnsiTheme="minorHAnsi" w:cstheme="minorHAnsi"/>
                <w:sz w:val="22"/>
                <w:szCs w:val="22"/>
              </w:rPr>
              <w:t>May through October</w:t>
            </w:r>
          </w:p>
        </w:tc>
      </w:tr>
      <w:tr w:rsidR="008F01B6" w:rsidRPr="00361EE1" w14:paraId="66CE88E4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328D1945" w14:textId="372E0A32" w:rsidR="008F01B6" w:rsidRPr="00F226D9" w:rsidRDefault="008F01B6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SummerCoolingPercent</w:t>
            </w:r>
            <w:proofErr w:type="spellEnd"/>
          </w:p>
        </w:tc>
        <w:tc>
          <w:tcPr>
            <w:tcW w:w="6074" w:type="dxa"/>
          </w:tcPr>
          <w:p w14:paraId="6A0F44C7" w14:textId="5C5103F1" w:rsidR="008F01B6" w:rsidRPr="00F226D9" w:rsidRDefault="00286DF4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 xml:space="preserve">% of </w:t>
            </w: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AvgSummerUsageKwh</w:t>
            </w:r>
            <w:proofErr w:type="spellEnd"/>
            <w:r w:rsidRPr="00F226D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675D1" w:rsidRPr="00F226D9">
              <w:rPr>
                <w:rFonts w:ascii="Calibri" w:hAnsi="Calibri" w:cs="Calibri"/>
                <w:sz w:val="22"/>
                <w:szCs w:val="22"/>
              </w:rPr>
              <w:t>attributed to cooling</w:t>
            </w:r>
          </w:p>
        </w:tc>
      </w:tr>
      <w:tr w:rsidR="008F01B6" w:rsidRPr="00361EE1" w14:paraId="69801A91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1C6683AC" w14:textId="7C49FBF3" w:rsidR="008F01B6" w:rsidRPr="00F226D9" w:rsidRDefault="008F01B6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SummerElectricHeatingPercent</w:t>
            </w:r>
            <w:proofErr w:type="spellEnd"/>
          </w:p>
        </w:tc>
        <w:tc>
          <w:tcPr>
            <w:tcW w:w="6074" w:type="dxa"/>
          </w:tcPr>
          <w:p w14:paraId="23D62618" w14:textId="22F83EDA" w:rsidR="008F01B6" w:rsidRPr="00F226D9" w:rsidRDefault="003675D1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 xml:space="preserve">% of </w:t>
            </w: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AvgSummerUsageKwh</w:t>
            </w:r>
            <w:proofErr w:type="spellEnd"/>
            <w:r w:rsidRPr="00F226D9">
              <w:rPr>
                <w:rFonts w:ascii="Calibri" w:hAnsi="Calibri" w:cs="Calibri"/>
                <w:sz w:val="22"/>
                <w:szCs w:val="22"/>
              </w:rPr>
              <w:t xml:space="preserve"> attributed to heating</w:t>
            </w:r>
          </w:p>
        </w:tc>
      </w:tr>
      <w:tr w:rsidR="008F01B6" w:rsidRPr="00361EE1" w14:paraId="79D85FBD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72882130" w14:textId="3D5386AC" w:rsidR="008F01B6" w:rsidRPr="00F226D9" w:rsidRDefault="008F01B6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SummerAlwaysOnPercent</w:t>
            </w:r>
            <w:proofErr w:type="spellEnd"/>
          </w:p>
        </w:tc>
        <w:tc>
          <w:tcPr>
            <w:tcW w:w="6074" w:type="dxa"/>
          </w:tcPr>
          <w:p w14:paraId="6B6E1995" w14:textId="21DF5FB7" w:rsidR="008F01B6" w:rsidRPr="00F226D9" w:rsidRDefault="003675D1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 xml:space="preserve">% of </w:t>
            </w: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AvgSummerUsageKwh</w:t>
            </w:r>
            <w:proofErr w:type="spellEnd"/>
            <w:r w:rsidRPr="00F226D9">
              <w:rPr>
                <w:rFonts w:ascii="Calibri" w:hAnsi="Calibri" w:cs="Calibri"/>
                <w:sz w:val="22"/>
                <w:szCs w:val="22"/>
              </w:rPr>
              <w:t xml:space="preserve"> attributed to </w:t>
            </w:r>
            <w:r w:rsidR="0044461E" w:rsidRPr="00F226D9">
              <w:rPr>
                <w:rFonts w:ascii="Calibri" w:hAnsi="Calibri" w:cs="Calibri"/>
                <w:sz w:val="22"/>
                <w:szCs w:val="22"/>
              </w:rPr>
              <w:t>always on</w:t>
            </w:r>
          </w:p>
        </w:tc>
      </w:tr>
      <w:tr w:rsidR="008F01B6" w:rsidRPr="00361EE1" w14:paraId="5EE1E224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7CDDC42D" w14:textId="486255D1" w:rsidR="008F01B6" w:rsidRPr="00F226D9" w:rsidRDefault="008F01B6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SummerLightsAppliancesPercent</w:t>
            </w:r>
            <w:proofErr w:type="spellEnd"/>
          </w:p>
        </w:tc>
        <w:tc>
          <w:tcPr>
            <w:tcW w:w="6074" w:type="dxa"/>
          </w:tcPr>
          <w:p w14:paraId="62BBEF8D" w14:textId="02A5FF8C" w:rsidR="008F01B6" w:rsidRPr="00F226D9" w:rsidRDefault="003675D1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 xml:space="preserve">% of </w:t>
            </w: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AvgSummerUsageKwh</w:t>
            </w:r>
            <w:proofErr w:type="spellEnd"/>
            <w:r w:rsidRPr="00F226D9">
              <w:rPr>
                <w:rFonts w:ascii="Calibri" w:hAnsi="Calibri" w:cs="Calibri"/>
                <w:sz w:val="22"/>
                <w:szCs w:val="22"/>
              </w:rPr>
              <w:t xml:space="preserve"> attributed to </w:t>
            </w:r>
            <w:r w:rsidR="0044461E" w:rsidRPr="00F226D9">
              <w:rPr>
                <w:rFonts w:ascii="Calibri" w:hAnsi="Calibri" w:cs="Calibri"/>
                <w:sz w:val="22"/>
                <w:szCs w:val="22"/>
              </w:rPr>
              <w:t>lights &amp; appliances</w:t>
            </w:r>
          </w:p>
        </w:tc>
      </w:tr>
      <w:tr w:rsidR="008F01B6" w:rsidRPr="00361EE1" w14:paraId="24A6B842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1AAD6AD4" w14:textId="7F830AE3" w:rsidR="008F01B6" w:rsidRPr="00F226D9" w:rsidRDefault="008F01B6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AvgWinterUsageKwh</w:t>
            </w:r>
            <w:proofErr w:type="spellEnd"/>
          </w:p>
        </w:tc>
        <w:tc>
          <w:tcPr>
            <w:tcW w:w="6074" w:type="dxa"/>
          </w:tcPr>
          <w:p w14:paraId="09E80223" w14:textId="2CE79074" w:rsidR="008F01B6" w:rsidRPr="00F226D9" w:rsidRDefault="0044461E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>Average household kWh for November through April</w:t>
            </w:r>
          </w:p>
        </w:tc>
      </w:tr>
      <w:tr w:rsidR="0044461E" w:rsidRPr="00361EE1" w14:paraId="0F565135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2AF770A7" w14:textId="6145B01B" w:rsidR="0044461E" w:rsidRPr="00F226D9" w:rsidRDefault="0044461E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WinterCoolingPercent</w:t>
            </w:r>
            <w:proofErr w:type="spellEnd"/>
          </w:p>
        </w:tc>
        <w:tc>
          <w:tcPr>
            <w:tcW w:w="6074" w:type="dxa"/>
          </w:tcPr>
          <w:p w14:paraId="71A984BE" w14:textId="39E466AE" w:rsidR="0044461E" w:rsidRPr="00F226D9" w:rsidRDefault="0044461E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 xml:space="preserve">% of </w:t>
            </w: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</w:t>
            </w:r>
            <w:r w:rsidR="00C61224" w:rsidRPr="00F226D9">
              <w:rPr>
                <w:rFonts w:ascii="Calibri" w:hAnsi="Calibri" w:cs="Calibri"/>
                <w:sz w:val="22"/>
                <w:szCs w:val="22"/>
              </w:rPr>
              <w:t>Winter</w:t>
            </w:r>
            <w:r w:rsidRPr="00F226D9">
              <w:rPr>
                <w:rFonts w:ascii="Calibri" w:hAnsi="Calibri" w:cs="Calibri"/>
                <w:sz w:val="22"/>
                <w:szCs w:val="22"/>
              </w:rPr>
              <w:t>UsageKwh</w:t>
            </w:r>
            <w:proofErr w:type="spellEnd"/>
            <w:r w:rsidRPr="00F226D9">
              <w:rPr>
                <w:rFonts w:ascii="Calibri" w:hAnsi="Calibri" w:cs="Calibri"/>
                <w:sz w:val="22"/>
                <w:szCs w:val="22"/>
              </w:rPr>
              <w:t xml:space="preserve"> attributed to cooling</w:t>
            </w:r>
          </w:p>
        </w:tc>
      </w:tr>
      <w:tr w:rsidR="0044461E" w:rsidRPr="00361EE1" w14:paraId="79A8F43C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053C355B" w14:textId="4981EF93" w:rsidR="0044461E" w:rsidRPr="00F226D9" w:rsidRDefault="0044461E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WinterElectricHeatingPercent</w:t>
            </w:r>
            <w:proofErr w:type="spellEnd"/>
          </w:p>
        </w:tc>
        <w:tc>
          <w:tcPr>
            <w:tcW w:w="6074" w:type="dxa"/>
          </w:tcPr>
          <w:p w14:paraId="71D7AA30" w14:textId="6D2571D7" w:rsidR="0044461E" w:rsidRPr="00F226D9" w:rsidRDefault="0044461E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 xml:space="preserve">% of </w:t>
            </w: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</w:t>
            </w:r>
            <w:r w:rsidR="00C61224" w:rsidRPr="00F226D9">
              <w:rPr>
                <w:rFonts w:ascii="Calibri" w:hAnsi="Calibri" w:cs="Calibri"/>
                <w:sz w:val="22"/>
                <w:szCs w:val="22"/>
              </w:rPr>
              <w:t>Winter</w:t>
            </w:r>
            <w:r w:rsidRPr="00F226D9">
              <w:rPr>
                <w:rFonts w:ascii="Calibri" w:hAnsi="Calibri" w:cs="Calibri"/>
                <w:sz w:val="22"/>
                <w:szCs w:val="22"/>
              </w:rPr>
              <w:t>UsageKwh</w:t>
            </w:r>
            <w:proofErr w:type="spellEnd"/>
            <w:r w:rsidRPr="00F226D9">
              <w:rPr>
                <w:rFonts w:ascii="Calibri" w:hAnsi="Calibri" w:cs="Calibri"/>
                <w:sz w:val="22"/>
                <w:szCs w:val="22"/>
              </w:rPr>
              <w:t xml:space="preserve"> attributed to heating</w:t>
            </w:r>
          </w:p>
        </w:tc>
      </w:tr>
      <w:tr w:rsidR="0044461E" w:rsidRPr="00361EE1" w14:paraId="1C4932A9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3DA9E930" w14:textId="18D0A63C" w:rsidR="0044461E" w:rsidRPr="00F226D9" w:rsidRDefault="0044461E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WinterAlwaysOnPercent</w:t>
            </w:r>
            <w:proofErr w:type="spellEnd"/>
          </w:p>
        </w:tc>
        <w:tc>
          <w:tcPr>
            <w:tcW w:w="6074" w:type="dxa"/>
          </w:tcPr>
          <w:p w14:paraId="3A63A8A2" w14:textId="54EE0D5C" w:rsidR="0044461E" w:rsidRPr="00F226D9" w:rsidRDefault="0044461E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 xml:space="preserve">% of </w:t>
            </w: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</w:t>
            </w:r>
            <w:r w:rsidR="00C61224" w:rsidRPr="00F226D9">
              <w:rPr>
                <w:rFonts w:ascii="Calibri" w:hAnsi="Calibri" w:cs="Calibri"/>
                <w:sz w:val="22"/>
                <w:szCs w:val="22"/>
              </w:rPr>
              <w:t>Winter</w:t>
            </w:r>
            <w:r w:rsidRPr="00F226D9">
              <w:rPr>
                <w:rFonts w:ascii="Calibri" w:hAnsi="Calibri" w:cs="Calibri"/>
                <w:sz w:val="22"/>
                <w:szCs w:val="22"/>
              </w:rPr>
              <w:t>UsageKwh</w:t>
            </w:r>
            <w:proofErr w:type="spellEnd"/>
            <w:r w:rsidRPr="00F226D9">
              <w:rPr>
                <w:rFonts w:ascii="Calibri" w:hAnsi="Calibri" w:cs="Calibri"/>
                <w:sz w:val="22"/>
                <w:szCs w:val="22"/>
              </w:rPr>
              <w:t xml:space="preserve"> attributed to always on</w:t>
            </w:r>
          </w:p>
        </w:tc>
      </w:tr>
      <w:tr w:rsidR="0044461E" w:rsidRPr="00361EE1" w14:paraId="7D675F6C" w14:textId="77777777" w:rsidTr="00F226D9">
        <w:trPr>
          <w:trHeight w:val="288"/>
        </w:trPr>
        <w:tc>
          <w:tcPr>
            <w:tcW w:w="3153" w:type="dxa"/>
            <w:vAlign w:val="bottom"/>
          </w:tcPr>
          <w:p w14:paraId="17EDFA07" w14:textId="1785F862" w:rsidR="0044461E" w:rsidRPr="00F226D9" w:rsidRDefault="0044461E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WinterLightsAppliancesPercent</w:t>
            </w:r>
            <w:proofErr w:type="spellEnd"/>
          </w:p>
        </w:tc>
        <w:tc>
          <w:tcPr>
            <w:tcW w:w="6074" w:type="dxa"/>
          </w:tcPr>
          <w:p w14:paraId="1F9DA248" w14:textId="0D9078D0" w:rsidR="0044461E" w:rsidRPr="00F226D9" w:rsidRDefault="0044461E" w:rsidP="00F226D9">
            <w:pPr>
              <w:pStyle w:val="PlainText"/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  <w:r w:rsidRPr="00F226D9">
              <w:rPr>
                <w:rFonts w:asciiTheme="minorHAnsi" w:hAnsiTheme="minorHAnsi" w:cstheme="minorHAnsi"/>
                <w:sz w:val="22"/>
                <w:szCs w:val="22"/>
              </w:rPr>
              <w:t xml:space="preserve">% of </w:t>
            </w:r>
            <w:proofErr w:type="spellStart"/>
            <w:r w:rsidRPr="00F226D9">
              <w:rPr>
                <w:rFonts w:ascii="Calibri" w:hAnsi="Calibri" w:cs="Calibri"/>
                <w:sz w:val="22"/>
                <w:szCs w:val="22"/>
              </w:rPr>
              <w:t>Avg</w:t>
            </w:r>
            <w:r w:rsidR="00C61224" w:rsidRPr="00F226D9">
              <w:rPr>
                <w:rFonts w:ascii="Calibri" w:hAnsi="Calibri" w:cs="Calibri"/>
                <w:sz w:val="22"/>
                <w:szCs w:val="22"/>
              </w:rPr>
              <w:t>Winter</w:t>
            </w:r>
            <w:r w:rsidRPr="00F226D9">
              <w:rPr>
                <w:rFonts w:ascii="Calibri" w:hAnsi="Calibri" w:cs="Calibri"/>
                <w:sz w:val="22"/>
                <w:szCs w:val="22"/>
              </w:rPr>
              <w:t>UsageKwh</w:t>
            </w:r>
            <w:proofErr w:type="spellEnd"/>
            <w:r w:rsidRPr="00F226D9">
              <w:rPr>
                <w:rFonts w:ascii="Calibri" w:hAnsi="Calibri" w:cs="Calibri"/>
                <w:sz w:val="22"/>
                <w:szCs w:val="22"/>
              </w:rPr>
              <w:t xml:space="preserve"> attributed to lights &amp; appliances</w:t>
            </w:r>
          </w:p>
        </w:tc>
      </w:tr>
    </w:tbl>
    <w:p w14:paraId="6E035691" w14:textId="3B26B0A4" w:rsidR="001726AC" w:rsidRDefault="001726AC" w:rsidP="00702295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14:paraId="3098E61D" w14:textId="77777777" w:rsidR="00F42F6E" w:rsidRPr="00361EE1" w:rsidRDefault="00F42F6E" w:rsidP="00702295">
      <w:pPr>
        <w:pStyle w:val="PlainText"/>
        <w:rPr>
          <w:rFonts w:asciiTheme="minorHAnsi" w:hAnsiTheme="minorHAnsi" w:cstheme="minorHAnsi"/>
          <w:sz w:val="24"/>
          <w:szCs w:val="24"/>
        </w:rPr>
      </w:pPr>
    </w:p>
    <w:sectPr w:rsidR="00F42F6E" w:rsidRPr="00361EE1" w:rsidSect="00A76D88">
      <w:headerReference w:type="default" r:id="rId8"/>
      <w:footerReference w:type="default" r:id="rId9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65A1C" w14:textId="77777777" w:rsidR="004A54E7" w:rsidRDefault="004A54E7" w:rsidP="00993277">
      <w:pPr>
        <w:spacing w:after="0" w:line="240" w:lineRule="auto"/>
      </w:pPr>
      <w:r>
        <w:separator/>
      </w:r>
    </w:p>
  </w:endnote>
  <w:endnote w:type="continuationSeparator" w:id="0">
    <w:p w14:paraId="67E1E86F" w14:textId="77777777" w:rsidR="004A54E7" w:rsidRDefault="004A54E7" w:rsidP="0099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1A07A" w14:textId="1EE73077" w:rsidR="00662490" w:rsidRDefault="00662490">
    <w:pPr>
      <w:pStyle w:val="Footer"/>
    </w:pPr>
    <w:r>
      <w:t>SDG&amp;E CARE Profile Description</w:t>
    </w:r>
    <w:r>
      <w:ptab w:relativeTo="margin" w:alignment="center" w:leader="none"/>
    </w:r>
    <w:r>
      <w:ptab w:relativeTo="margin" w:alignment="right" w:leader="none"/>
    </w:r>
    <w:r w:rsidR="00FC2069">
      <w:t xml:space="preserve">Page </w:t>
    </w:r>
    <w:r w:rsidR="00551650">
      <w:fldChar w:fldCharType="begin"/>
    </w:r>
    <w:r w:rsidR="00551650">
      <w:instrText xml:space="preserve"> PAGE   \* MERGEFORMAT </w:instrText>
    </w:r>
    <w:r w:rsidR="00551650">
      <w:fldChar w:fldCharType="separate"/>
    </w:r>
    <w:r w:rsidR="00551650">
      <w:rPr>
        <w:noProof/>
      </w:rPr>
      <w:t>1</w:t>
    </w:r>
    <w:r w:rsidR="00551650">
      <w:fldChar w:fldCharType="end"/>
    </w:r>
    <w:r w:rsidR="00551650">
      <w:t xml:space="preserve"> of </w:t>
    </w:r>
    <w:r w:rsidR="004A54E7">
      <w:fldChar w:fldCharType="begin"/>
    </w:r>
    <w:r w:rsidR="004A54E7">
      <w:instrText xml:space="preserve"> NUMPAGES   \* MERGEFORMAT </w:instrText>
    </w:r>
    <w:r w:rsidR="004A54E7">
      <w:fldChar w:fldCharType="separate"/>
    </w:r>
    <w:r w:rsidR="00551650">
      <w:rPr>
        <w:noProof/>
      </w:rPr>
      <w:t>2</w:t>
    </w:r>
    <w:r w:rsidR="004A54E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FD41D" w14:textId="77777777" w:rsidR="004A54E7" w:rsidRDefault="004A54E7" w:rsidP="00993277">
      <w:pPr>
        <w:spacing w:after="0" w:line="240" w:lineRule="auto"/>
      </w:pPr>
      <w:r>
        <w:separator/>
      </w:r>
    </w:p>
  </w:footnote>
  <w:footnote w:type="continuationSeparator" w:id="0">
    <w:p w14:paraId="38FCF4CD" w14:textId="77777777" w:rsidR="004A54E7" w:rsidRDefault="004A54E7" w:rsidP="00993277">
      <w:pPr>
        <w:spacing w:after="0" w:line="240" w:lineRule="auto"/>
      </w:pPr>
      <w:r>
        <w:continuationSeparator/>
      </w:r>
    </w:p>
  </w:footnote>
  <w:footnote w:id="1">
    <w:p w14:paraId="3F224440" w14:textId="1628A1CF" w:rsidR="00993277" w:rsidRDefault="00993277">
      <w:pPr>
        <w:pStyle w:val="FootnoteText"/>
      </w:pPr>
      <w:r>
        <w:rPr>
          <w:rStyle w:val="FootnoteReference"/>
        </w:rPr>
        <w:footnoteRef/>
      </w:r>
      <w:r>
        <w:t xml:space="preserve"> D.16-11-022 was subsequently modified in D.17-12-009.</w:t>
      </w:r>
    </w:p>
  </w:footnote>
  <w:footnote w:id="2">
    <w:p w14:paraId="430DDAAF" w14:textId="0D66C881" w:rsidR="00796BD6" w:rsidRDefault="00796BD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226D9">
        <w:t>San Diego Gas &amp; Electric Company, Pacific Gas and Electric Company and Southern California Edison</w:t>
      </w:r>
      <w:r w:rsidR="00F76C5A">
        <w:t xml:space="preserve"> jointly hired </w:t>
      </w:r>
      <w:proofErr w:type="spellStart"/>
      <w:r w:rsidR="00F76C5A">
        <w:t>Uplight</w:t>
      </w:r>
      <w:proofErr w:type="spellEnd"/>
      <w:r w:rsidR="00F76C5A">
        <w:t xml:space="preserve"> Inc.</w:t>
      </w:r>
      <w:r w:rsidR="00F42F6E">
        <w:t xml:space="preserve"> (previously known as </w:t>
      </w:r>
      <w:proofErr w:type="spellStart"/>
      <w:r w:rsidR="00F42F6E">
        <w:t>Ecotagious</w:t>
      </w:r>
      <w:proofErr w:type="spellEnd"/>
      <w:r w:rsidR="00F42F6E">
        <w:t xml:space="preserve"> Inc.)</w:t>
      </w:r>
      <w:r w:rsidR="00F76C5A">
        <w:t xml:space="preserve"> </w:t>
      </w:r>
      <w:r w:rsidR="00FA3AC2">
        <w:t xml:space="preserve">through a competitive bid </w:t>
      </w:r>
      <w:r w:rsidR="004A4A9E">
        <w:t xml:space="preserve">solicitation </w:t>
      </w:r>
      <w:r w:rsidR="00F76C5A">
        <w:t xml:space="preserve">to produce disaggregated load profiles for CARE customers </w:t>
      </w:r>
      <w:r w:rsidR="00307FC0">
        <w:t>as ordered by D.16-11-022 and D.17-12-009.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B7762" w14:textId="76CA4310" w:rsidR="00662490" w:rsidRPr="00551650" w:rsidRDefault="00551650">
    <w:pPr>
      <w:pStyle w:val="Header"/>
      <w:rPr>
        <w:b/>
      </w:rPr>
    </w:pPr>
    <w:r w:rsidRPr="00551650">
      <w:rPr>
        <w:b/>
      </w:rPr>
      <w:t xml:space="preserve">SDG&amp;E CARE Profile </w:t>
    </w:r>
    <w:r>
      <w:rPr>
        <w:b/>
      </w:rPr>
      <w:t>for 2021 DRAM Bidders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40A12"/>
    <w:multiLevelType w:val="hybridMultilevel"/>
    <w:tmpl w:val="F7F2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266EF"/>
    <w:multiLevelType w:val="hybridMultilevel"/>
    <w:tmpl w:val="73D0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067F7"/>
    <w:multiLevelType w:val="hybridMultilevel"/>
    <w:tmpl w:val="75BC2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D4AE5"/>
    <w:multiLevelType w:val="hybridMultilevel"/>
    <w:tmpl w:val="F6582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62A"/>
    <w:rsid w:val="00032E20"/>
    <w:rsid w:val="000378DE"/>
    <w:rsid w:val="000B0BFE"/>
    <w:rsid w:val="000B257D"/>
    <w:rsid w:val="000D7A4E"/>
    <w:rsid w:val="00123A5E"/>
    <w:rsid w:val="001726AC"/>
    <w:rsid w:val="001A55EC"/>
    <w:rsid w:val="001A6EF7"/>
    <w:rsid w:val="001B2D72"/>
    <w:rsid w:val="001D4EC5"/>
    <w:rsid w:val="00210024"/>
    <w:rsid w:val="0021140F"/>
    <w:rsid w:val="002523C0"/>
    <w:rsid w:val="00283575"/>
    <w:rsid w:val="00286DF4"/>
    <w:rsid w:val="002D0773"/>
    <w:rsid w:val="002F29E8"/>
    <w:rsid w:val="00307FC0"/>
    <w:rsid w:val="00314579"/>
    <w:rsid w:val="00361EE1"/>
    <w:rsid w:val="003650D2"/>
    <w:rsid w:val="003675D1"/>
    <w:rsid w:val="00374CAD"/>
    <w:rsid w:val="003C1B88"/>
    <w:rsid w:val="003C244E"/>
    <w:rsid w:val="00410B1A"/>
    <w:rsid w:val="0044461E"/>
    <w:rsid w:val="00465C95"/>
    <w:rsid w:val="004832B9"/>
    <w:rsid w:val="004A4A9E"/>
    <w:rsid w:val="004A54E7"/>
    <w:rsid w:val="00507DA9"/>
    <w:rsid w:val="00551650"/>
    <w:rsid w:val="005808B7"/>
    <w:rsid w:val="00581288"/>
    <w:rsid w:val="00584B45"/>
    <w:rsid w:val="005B07AE"/>
    <w:rsid w:val="00612FFF"/>
    <w:rsid w:val="00633DFD"/>
    <w:rsid w:val="00662490"/>
    <w:rsid w:val="0068329B"/>
    <w:rsid w:val="0068726A"/>
    <w:rsid w:val="00690B5C"/>
    <w:rsid w:val="00702295"/>
    <w:rsid w:val="00772A17"/>
    <w:rsid w:val="00796BD6"/>
    <w:rsid w:val="007B500A"/>
    <w:rsid w:val="007D4865"/>
    <w:rsid w:val="00832452"/>
    <w:rsid w:val="008834B2"/>
    <w:rsid w:val="008F01B6"/>
    <w:rsid w:val="008F19D5"/>
    <w:rsid w:val="00924540"/>
    <w:rsid w:val="00942AA3"/>
    <w:rsid w:val="00993277"/>
    <w:rsid w:val="009A0B7F"/>
    <w:rsid w:val="009E16AE"/>
    <w:rsid w:val="00A01A4A"/>
    <w:rsid w:val="00A13240"/>
    <w:rsid w:val="00A16788"/>
    <w:rsid w:val="00A41309"/>
    <w:rsid w:val="00B47890"/>
    <w:rsid w:val="00BB2DCA"/>
    <w:rsid w:val="00BB47B6"/>
    <w:rsid w:val="00BD0E70"/>
    <w:rsid w:val="00C30C59"/>
    <w:rsid w:val="00C6018A"/>
    <w:rsid w:val="00C61224"/>
    <w:rsid w:val="00C805CF"/>
    <w:rsid w:val="00CE42BE"/>
    <w:rsid w:val="00D007D1"/>
    <w:rsid w:val="00D00CF7"/>
    <w:rsid w:val="00D156BC"/>
    <w:rsid w:val="00D30463"/>
    <w:rsid w:val="00D52781"/>
    <w:rsid w:val="00DB640B"/>
    <w:rsid w:val="00DD162A"/>
    <w:rsid w:val="00E14BC6"/>
    <w:rsid w:val="00E163EA"/>
    <w:rsid w:val="00E65F0E"/>
    <w:rsid w:val="00E744FB"/>
    <w:rsid w:val="00EC4CDE"/>
    <w:rsid w:val="00EF6B0E"/>
    <w:rsid w:val="00F07952"/>
    <w:rsid w:val="00F226D9"/>
    <w:rsid w:val="00F42F6E"/>
    <w:rsid w:val="00F76C5A"/>
    <w:rsid w:val="00FA0EAD"/>
    <w:rsid w:val="00FA3766"/>
    <w:rsid w:val="00FA3AC2"/>
    <w:rsid w:val="00FC2069"/>
    <w:rsid w:val="00FF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0510DA94"/>
  <w15:chartTrackingRefBased/>
  <w15:docId w15:val="{CBE146CA-DF9C-4D50-A6E9-67564ECE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76D8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76D88"/>
    <w:rPr>
      <w:rFonts w:ascii="Consolas" w:hAnsi="Consolas" w:cs="Consolas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32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327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3277"/>
    <w:rPr>
      <w:vertAlign w:val="superscript"/>
    </w:rPr>
  </w:style>
  <w:style w:type="table" w:styleId="TableGrid">
    <w:name w:val="Table Grid"/>
    <w:basedOn w:val="TableNormal"/>
    <w:uiPriority w:val="59"/>
    <w:rsid w:val="008F1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490"/>
  </w:style>
  <w:style w:type="paragraph" w:styleId="Footer">
    <w:name w:val="footer"/>
    <w:basedOn w:val="Normal"/>
    <w:link w:val="FooterChar"/>
    <w:uiPriority w:val="99"/>
    <w:unhideWhenUsed/>
    <w:rsid w:val="00662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3BCCF-0CDF-4C6B-991B-CFF6031A9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Ilinykh, Maria</dc:creator>
  <cp:keywords/>
  <dc:description/>
  <cp:lastModifiedBy>Gettig, Brenda</cp:lastModifiedBy>
  <cp:revision>75</cp:revision>
  <dcterms:created xsi:type="dcterms:W3CDTF">2020-04-07T18:38:00Z</dcterms:created>
  <dcterms:modified xsi:type="dcterms:W3CDTF">2020-04-07T22:59:00Z</dcterms:modified>
</cp:coreProperties>
</file>